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38" w:rsidRPr="007138B5" w:rsidRDefault="008718E5" w:rsidP="0035482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Омский </w:t>
      </w:r>
      <w:proofErr w:type="spellStart"/>
      <w:r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0F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рассказывает о</w:t>
      </w:r>
      <w:r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</w:t>
      </w:r>
      <w:r w:rsidR="00223138"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анкротств</w:t>
      </w:r>
      <w:r w:rsidR="000F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223138"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граждан </w:t>
      </w:r>
      <w:r w:rsidR="002C1736"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условиях </w:t>
      </w:r>
      <w:r w:rsidR="00C3437C" w:rsidRPr="00713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мобилизации</w:t>
      </w:r>
    </w:p>
    <w:p w:rsidR="00A60266" w:rsidRPr="00A60266" w:rsidRDefault="00A60266" w:rsidP="00D641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некоторые актуальные вопросы о</w:t>
      </w:r>
      <w:r w:rsidR="00223138" w:rsidRPr="0071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</w:t>
      </w:r>
      <w:r w:rsidRPr="0071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чает начальник отдел</w:t>
      </w:r>
      <w:r w:rsidRPr="00A6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контролю (надзору) в сфере саморегулируемых организаций Управления </w:t>
      </w:r>
      <w:proofErr w:type="spellStart"/>
      <w:r w:rsidRPr="00A6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A6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Омской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3138" w:rsidRDefault="00223138" w:rsidP="005902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 Российской Федерации</w:t>
      </w:r>
      <w:r w:rsidRPr="0022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и Указ Президента России </w:t>
      </w:r>
      <w:r w:rsidR="00D5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21.09.2022 </w:t>
      </w:r>
      <w:r w:rsidRPr="0022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объявле</w:t>
      </w:r>
      <w:r w:rsidR="00D5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частичной мобилизации в Российской Федерации</w:t>
      </w:r>
      <w:r w:rsidRPr="0022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не содержит запрета на мобилизацию граждан, участвующих в процедуре банкротства. Следовательно, в Вооруженные Силы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22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призвать с любыми долгами и кредитными обязательствами, в том числе и тех, кто уже находится в процессе признания себя банкротом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604E" w:rsidRPr="00223138" w:rsidRDefault="00066847" w:rsidP="005902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138">
        <w:rPr>
          <w:rFonts w:ascii="Times New Roman" w:hAnsi="Times New Roman" w:cs="Times New Roman"/>
          <w:color w:val="000000"/>
          <w:sz w:val="28"/>
          <w:szCs w:val="28"/>
        </w:rPr>
        <w:t xml:space="preserve">Мобилизация предусматривает призыв военнообязанных граждан из запаса, зачисление их в состав </w:t>
      </w:r>
      <w:r w:rsidR="00D52A07">
        <w:rPr>
          <w:rFonts w:ascii="Times New Roman" w:hAnsi="Times New Roman" w:cs="Times New Roman"/>
          <w:color w:val="000000"/>
          <w:sz w:val="28"/>
          <w:szCs w:val="28"/>
        </w:rPr>
        <w:t>воинских частей и организаций Вооруженных сил</w:t>
      </w:r>
      <w:r w:rsidRPr="00223138">
        <w:rPr>
          <w:rFonts w:ascii="Times New Roman" w:hAnsi="Times New Roman" w:cs="Times New Roman"/>
          <w:color w:val="000000"/>
          <w:sz w:val="28"/>
          <w:szCs w:val="28"/>
        </w:rPr>
        <w:t xml:space="preserve"> РФ. На период службы меняется правовой статус мо</w:t>
      </w:r>
      <w:r w:rsidR="009F68D3">
        <w:rPr>
          <w:rFonts w:ascii="Times New Roman" w:hAnsi="Times New Roman" w:cs="Times New Roman"/>
          <w:color w:val="000000"/>
          <w:sz w:val="28"/>
          <w:szCs w:val="28"/>
        </w:rPr>
        <w:t>билизованного. Это влияет</w:t>
      </w:r>
      <w:r w:rsidR="00223138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</w:t>
      </w:r>
      <w:r w:rsidRPr="00223138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223138">
        <w:rPr>
          <w:rFonts w:ascii="Times New Roman" w:hAnsi="Times New Roman" w:cs="Times New Roman"/>
          <w:color w:val="000000"/>
          <w:sz w:val="28"/>
          <w:szCs w:val="28"/>
        </w:rPr>
        <w:t>процедуре банкротства как со стороны должника, так и кредитора, финансового управляющего, участника торгов.</w:t>
      </w:r>
    </w:p>
    <w:p w:rsidR="00066847" w:rsidRPr="00223138" w:rsidRDefault="00066847" w:rsidP="0035482A">
      <w:pPr>
        <w:shd w:val="clear" w:color="auto" w:fill="FFFFFF"/>
        <w:spacing w:before="192" w:after="192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23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Приостановят ли банкротство, если в отношении военнослужащего процедура банкротства была введена до его отправки в место проведения специальной военной операции?</w:t>
      </w:r>
    </w:p>
    <w:p w:rsidR="00F631C6" w:rsidRDefault="00A30A49" w:rsidP="005902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Федеральный </w:t>
      </w:r>
      <w:r w:rsidR="00AF48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 </w:t>
      </w:r>
      <w:r w:rsidR="00EF06E8" w:rsidRPr="009C374B">
        <w:rPr>
          <w:rFonts w:ascii="Times New Roman" w:eastAsia="Times New Roman" w:hAnsi="Times New Roman" w:cs="Times New Roman"/>
          <w:color w:val="333333"/>
          <w:sz w:val="28"/>
          <w:szCs w:val="28"/>
        </w:rPr>
        <w:t>«О несостоя</w:t>
      </w:r>
      <w:r w:rsidR="00C605C8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</w:t>
      </w:r>
      <w:r w:rsidR="00AF48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ости (банкротстве)» не содержит </w:t>
      </w:r>
      <w:r w:rsidR="00066847" w:rsidRPr="009C37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такого основания для приостановления процедуры банкротства. Однако, учитывая, что </w:t>
      </w:r>
      <w:r w:rsidR="00AF48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банкротство ведется по правилам </w:t>
      </w:r>
      <w:r w:rsidR="00066847" w:rsidRPr="009C374B">
        <w:rPr>
          <w:rFonts w:ascii="Times New Roman" w:eastAsia="Times New Roman" w:hAnsi="Times New Roman" w:cs="Times New Roman"/>
          <w:color w:val="333333"/>
          <w:sz w:val="28"/>
          <w:szCs w:val="28"/>
        </w:rPr>
        <w:t>Арби</w:t>
      </w:r>
      <w:r w:rsidR="00C605C8">
        <w:rPr>
          <w:rFonts w:ascii="Times New Roman" w:eastAsia="Times New Roman" w:hAnsi="Times New Roman" w:cs="Times New Roman"/>
          <w:color w:val="333333"/>
          <w:sz w:val="28"/>
          <w:szCs w:val="28"/>
        </w:rPr>
        <w:t>тражного</w:t>
      </w:r>
      <w:r w:rsidR="00AF48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605C8">
        <w:rPr>
          <w:rFonts w:ascii="Times New Roman" w:eastAsia="Times New Roman" w:hAnsi="Times New Roman" w:cs="Times New Roman"/>
          <w:color w:val="333333"/>
          <w:sz w:val="28"/>
          <w:szCs w:val="28"/>
        </w:rPr>
        <w:t>судопроизводства</w:t>
      </w:r>
      <w:r w:rsidR="00066847" w:rsidRPr="009C374B">
        <w:rPr>
          <w:rFonts w:ascii="Times New Roman" w:eastAsia="Times New Roman" w:hAnsi="Times New Roman" w:cs="Times New Roman"/>
          <w:color w:val="333333"/>
          <w:sz w:val="28"/>
          <w:szCs w:val="28"/>
        </w:rPr>
        <w:t>, то в силу ст. 143 АПК РФ суд обязан приостановить судебные мероприятия, если гражданин находится в действующей части Вооруженных Сил РФ.</w:t>
      </w:r>
      <w:r w:rsidR="00223138" w:rsidRPr="009C37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C374B" w:rsidRPr="009C374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понимать, что </w:t>
      </w:r>
      <w:r w:rsidR="0022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9C3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приостановление, а </w:t>
      </w:r>
      <w:r w:rsidR="00C605C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прекращение</w:t>
      </w:r>
      <w:r w:rsidR="00975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по делу о банкротстве. В период приостановления по делу</w:t>
      </w:r>
      <w:r w:rsidR="00F631C6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</w:t>
      </w:r>
      <w:r w:rsidR="00F6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роводиться необходимые действия финансовым управляющим</w:t>
      </w:r>
      <w:r w:rsidR="00F631C6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 запрашиваться сведения о должнике</w:t>
      </w:r>
      <w:r w:rsidR="00F6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(его имуществе)</w:t>
      </w:r>
      <w:r w:rsidR="00F631C6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осуществляться контроль за формированием реестра кредиторов.</w:t>
      </w:r>
    </w:p>
    <w:p w:rsidR="00344CE9" w:rsidRPr="00223138" w:rsidRDefault="00344CE9" w:rsidP="005902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связи рекомендуем предпринять следующие шаги</w:t>
      </w: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4CE9" w:rsidRPr="00B62C86" w:rsidRDefault="00344CE9" w:rsidP="0035482A">
      <w:pPr>
        <w:numPr>
          <w:ilvl w:val="0"/>
          <w:numId w:val="3"/>
        </w:numPr>
        <w:shd w:val="clear" w:color="auto" w:fill="FFFFFF"/>
        <w:spacing w:before="75" w:after="180" w:line="24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Подать ходатайство в арбитражный суд о приостановке дела о несостоятельности (банкротстве) с указанием причины, приложив подтверждающие документы от</w:t>
      </w:r>
      <w:r w:rsidR="00CC5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военного коми</w:t>
      </w:r>
      <w:r w:rsidR="008E5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ссариата.  Ходатайство   можно </w:t>
      </w:r>
      <w:r w:rsidR="0085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отнести в канцелярию суда или отправить </w:t>
      </w:r>
      <w:r w:rsidR="006160AD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A60266" w:rsidRDefault="00344CE9" w:rsidP="0035482A">
      <w:pPr>
        <w:numPr>
          <w:ilvl w:val="0"/>
          <w:numId w:val="3"/>
        </w:numPr>
        <w:shd w:val="clear" w:color="auto" w:fill="FFFFFF"/>
        <w:spacing w:before="75" w:after="180" w:line="24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доверенность на</w:t>
      </w:r>
      <w:r w:rsidR="00B6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юриста или </w:t>
      </w: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близкого человека, которая позволит </w:t>
      </w:r>
      <w:proofErr w:type="gramStart"/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</w:t>
      </w:r>
      <w:proofErr w:type="gramEnd"/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мобилизованного подавать ходатайство о при</w:t>
      </w:r>
      <w:r w:rsidR="00B62C8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остановлении дела о банкротстве и другие документы.</w:t>
      </w:r>
    </w:p>
    <w:p w:rsidR="00EF06E8" w:rsidRPr="00A60266" w:rsidRDefault="000E73AD" w:rsidP="00590205">
      <w:pPr>
        <w:shd w:val="clear" w:color="auto" w:fill="FFFFFF"/>
        <w:spacing w:before="75"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2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Какие последствия</w:t>
      </w:r>
      <w:r w:rsidR="001C0FC3" w:rsidRPr="00A602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,</w:t>
      </w:r>
      <w:r w:rsidRPr="00A602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если </w:t>
      </w:r>
      <w:r w:rsidR="0043207B" w:rsidRPr="00A602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призвали кредитора, финансового </w:t>
      </w:r>
      <w:r w:rsidRPr="00A602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управляющего или участника торгов по банкротству?</w:t>
      </w:r>
    </w:p>
    <w:p w:rsidR="00552DE7" w:rsidRPr="00223138" w:rsidRDefault="00552DE7" w:rsidP="00590205">
      <w:pPr>
        <w:shd w:val="clear" w:color="auto" w:fill="FFFFFF"/>
        <w:spacing w:before="300"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Вполне вероятна ситуация, когда мобилизуют арбитражного управляющего или </w:t>
      </w:r>
      <w:r w:rsidR="000E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кредитора по </w:t>
      </w:r>
      <w:r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делу о признании банкротом. </w:t>
      </w:r>
      <w:r w:rsidR="000E73AD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этом случае законодательством предусмотрено ряд мер, при которых права сторон не будут нарушены:</w:t>
      </w:r>
    </w:p>
    <w:p w:rsidR="00552DE7" w:rsidRDefault="00552DE7" w:rsidP="0035482A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мобилизованный — </w:t>
      </w:r>
      <w:r w:rsidRPr="0032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кредитор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 (физ</w:t>
      </w:r>
      <w:r w:rsidR="000E73AD"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 лицо или индивидуальный предприниматель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), то представление интересов он может поручить профессиональному юристу либо представителю по нотариальной доверенности с четко прописанными в ней полномочиями. Что касается денежных сред</w:t>
      </w:r>
      <w:r w:rsidR="000E73AD"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</w:t>
      </w:r>
      <w:r w:rsid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необходимо учитывать положение пункта 2 статьи 142 Федерального закона 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«О несостоятельност</w:t>
      </w:r>
      <w:r w:rsid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и (банкротстве)» предусматривающие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внесения финансовым управляющим причитающейся </w:t>
      </w:r>
      <w:r w:rsid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кредитору 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от реализации имущества банкрота на депозит нотариуса, если эти деньги невозможно начислить </w:t>
      </w:r>
      <w:r w:rsid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такому 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кредитору напря</w:t>
      </w:r>
      <w:r w:rsidR="006160AD">
        <w:rPr>
          <w:rFonts w:ascii="Times New Roman" w:eastAsia="Times New Roman" w:hAnsi="Times New Roman" w:cs="Times New Roman"/>
          <w:color w:val="000000"/>
          <w:sz w:val="28"/>
          <w:szCs w:val="28"/>
        </w:rPr>
        <w:t>мую. Об этом действии кредитор должен быть проинформирован</w:t>
      </w:r>
      <w:r w:rsidRPr="003266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FC3" w:rsidRPr="0032665F" w:rsidRDefault="001C0FC3" w:rsidP="0035482A">
      <w:pPr>
        <w:shd w:val="clear" w:color="auto" w:fill="FFFFFF"/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DE7" w:rsidRPr="00AA3704" w:rsidRDefault="00552DE7" w:rsidP="0035482A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мобилизованный — </w:t>
      </w:r>
      <w:r w:rsidRPr="00AA3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 торгов по банкротному делу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, то за неисполнение (либо ненадлежащее выполнение) своих обязательств ответс</w:t>
      </w:r>
      <w:r w:rsidR="00616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твенность для него не наступает в соответствии со </w:t>
      </w:r>
      <w:r w:rsidR="0032665F" w:rsidRPr="00AA3704">
        <w:rPr>
          <w:rFonts w:ascii="Times New Roman" w:hAnsi="Times New Roman" w:cs="Times New Roman"/>
          <w:sz w:val="28"/>
          <w:szCs w:val="28"/>
        </w:rPr>
        <w:t>статье</w:t>
      </w:r>
      <w:r w:rsidR="006160AD">
        <w:rPr>
          <w:rFonts w:ascii="Times New Roman" w:hAnsi="Times New Roman" w:cs="Times New Roman"/>
          <w:sz w:val="28"/>
          <w:szCs w:val="28"/>
        </w:rPr>
        <w:t>й</w:t>
      </w:r>
      <w:r w:rsidR="0032665F" w:rsidRPr="00AA3704">
        <w:rPr>
          <w:rFonts w:ascii="Times New Roman" w:hAnsi="Times New Roman" w:cs="Times New Roman"/>
          <w:sz w:val="28"/>
          <w:szCs w:val="28"/>
        </w:rPr>
        <w:t xml:space="preserve"> 416</w:t>
      </w:r>
      <w:r w:rsidR="0032665F"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Гражданского кодекса Российской Федерации</w:t>
      </w:r>
      <w:r w:rsidR="00B62C8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665F" w:rsidRPr="00AA3704">
        <w:rPr>
          <w:rFonts w:ascii="Times New Roman" w:hAnsi="Times New Roman" w:cs="Times New Roman"/>
          <w:sz w:val="28"/>
          <w:szCs w:val="28"/>
        </w:rPr>
        <w:t>статья 381 Гражданского кодекса РФ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 обязывает вернуть внес</w:t>
      </w:r>
      <w:r w:rsidR="007575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задаток.</w:t>
      </w:r>
      <w:r w:rsidR="00AA3704"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</w:t>
      </w:r>
      <w:r w:rsid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участника</w:t>
      </w:r>
      <w:r w:rsid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торгов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призв</w:t>
      </w:r>
      <w:r w:rsidR="00B62C86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 в действующую армию, имеется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возможность воспользоваться помощью своего представителя, оформив надлежащим образом доверенность.</w:t>
      </w:r>
    </w:p>
    <w:p w:rsidR="00552DE7" w:rsidRPr="00AA3704" w:rsidRDefault="00552DE7" w:rsidP="0035482A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мобилизованный — </w:t>
      </w:r>
      <w:r w:rsidRPr="00AA3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финансовый управляющий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ему н</w:t>
      </w:r>
      <w:r w:rsidR="0075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ходатайствовать </w:t>
      </w:r>
      <w:proofErr w:type="gramStart"/>
      <w:r w:rsidR="0075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арбитражным 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судьей</w:t>
      </w:r>
      <w:proofErr w:type="gramEnd"/>
      <w:r w:rsidR="0075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о снятии возложенных о</w:t>
      </w:r>
      <w:r w:rsidR="0075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бязанностей 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 </w:t>
      </w:r>
      <w:r w:rsidR="00AA3704" w:rsidRPr="00AA3704">
        <w:rPr>
          <w:rFonts w:ascii="Times New Roman" w:hAnsi="Times New Roman" w:cs="Times New Roman"/>
          <w:sz w:val="28"/>
          <w:szCs w:val="28"/>
        </w:rPr>
        <w:t>пункта 1 статьи 20.3</w:t>
      </w:r>
      <w:r w:rsidR="00AA3704"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несостоятельности (банкротстве)».</w:t>
      </w:r>
      <w:r w:rsid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управляющий не успел это сделать, то подать ходатайство в его интересах может СРО</w:t>
      </w:r>
      <w:r w:rsid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(саморегулируемая организация), членом которой он является.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чего прои</w:t>
      </w:r>
      <w:r w:rsidR="00C7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зойдет замена </w:t>
      </w:r>
      <w:r w:rsidRPr="00AA3704">
        <w:rPr>
          <w:rFonts w:ascii="Times New Roman" w:eastAsia="Times New Roman" w:hAnsi="Times New Roman" w:cs="Times New Roman"/>
          <w:color w:val="000000"/>
          <w:sz w:val="28"/>
          <w:szCs w:val="28"/>
        </w:rPr>
        <w:t>на его коллегу из той же СРО.</w:t>
      </w:r>
    </w:p>
    <w:p w:rsidR="0043207B" w:rsidRDefault="0043207B" w:rsidP="00590205">
      <w:pPr>
        <w:spacing w:before="405"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3207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Можно ли подать на банкротство после призыва по мобилизации?</w:t>
      </w:r>
    </w:p>
    <w:p w:rsidR="00A60266" w:rsidRDefault="00325196" w:rsidP="00590205">
      <w:pPr>
        <w:spacing w:before="405"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частичной мобилизации н</w:t>
      </w:r>
      <w:r w:rsidR="0043207B">
        <w:rPr>
          <w:rFonts w:ascii="Times New Roman" w:eastAsia="Times New Roman" w:hAnsi="Times New Roman" w:cs="Times New Roman"/>
          <w:color w:val="000000"/>
          <w:sz w:val="28"/>
          <w:szCs w:val="28"/>
        </w:rPr>
        <w:t>а банкротство может подать как сам должник или его представитель по доверенности, так и кредитор.</w:t>
      </w:r>
      <w:r w:rsidR="00374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Мораторий на возбуждение </w:t>
      </w:r>
      <w:proofErr w:type="spellStart"/>
      <w:r w:rsidR="003741D5">
        <w:rPr>
          <w:rFonts w:ascii="Times New Roman" w:eastAsia="Times New Roman" w:hAnsi="Times New Roman" w:cs="Times New Roman"/>
          <w:color w:val="000000"/>
          <w:sz w:val="28"/>
          <w:szCs w:val="28"/>
        </w:rPr>
        <w:t>банкротных</w:t>
      </w:r>
      <w:proofErr w:type="spellEnd"/>
      <w:r w:rsidR="00374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 по заявлениям кредиторов, введенный с 1 апреля 2022 года</w:t>
      </w:r>
      <w:r w:rsidR="00AC24C5">
        <w:rPr>
          <w:rFonts w:ascii="Times New Roman" w:eastAsia="Times New Roman" w:hAnsi="Times New Roman" w:cs="Times New Roman"/>
          <w:color w:val="000000"/>
          <w:sz w:val="28"/>
          <w:szCs w:val="28"/>
        </w:rPr>
        <w:t>, не действует с</w:t>
      </w:r>
      <w:r w:rsidR="00B62C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2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374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2022 года. Следовательно, нет никаких препятствий для подачи</w:t>
      </w:r>
      <w:r w:rsidR="0078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заявлений и документов в арбитражный суд</w:t>
      </w:r>
      <w:r w:rsidR="0043207B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должник получил повестку или фактически убыл для прохождения службы.</w:t>
      </w:r>
      <w:r w:rsidR="0078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Арбитражный суд примет и рассмотрит документы, но будет обязан приостановить производство по делу. </w:t>
      </w:r>
      <w:r w:rsidR="0043207B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Дальнейший ход дела зависит от того, когда мобилизованный будет исключен</w:t>
      </w:r>
      <w:r w:rsidR="0078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состава действующей части Вооруженных сил</w:t>
      </w:r>
      <w:r w:rsidR="0043207B" w:rsidRPr="0022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 </w:t>
      </w:r>
    </w:p>
    <w:p w:rsidR="005D68DA" w:rsidRPr="00A60266" w:rsidRDefault="005D68DA" w:rsidP="00590205">
      <w:pPr>
        <w:spacing w:before="405"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8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Подлежат ли включению в конкурсную массу выплаты мобилизованным?</w:t>
      </w:r>
    </w:p>
    <w:p w:rsidR="005B0832" w:rsidRDefault="005D68DA" w:rsidP="0059020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призванному в ряды Вооруженных сил РФ военнослужащему начисляется ежемесячное денежное довольствие. Кроме того, в зависимости от должности, выполняемых армейских функций, рода войск, конкретных условий прохождения службы добавляются премии, надбавки, прочие предусмотренные начисления. Все эти средства с правовой точки зрения приравниваются к за</w:t>
      </w:r>
      <w:r w:rsidR="00C67A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работной плате, доходу.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выплаты долговых обязательств должников, попавших в армию по мобилизации, допускается взыскание в пользу кредиторов средств из денежного довольствия военнослужащего.</w:t>
      </w:r>
      <w:r w:rsidR="005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B0832">
        <w:rPr>
          <w:rFonts w:ascii="Times New Roman" w:eastAsia="Times New Roman" w:hAnsi="Times New Roman" w:cs="Times New Roman"/>
          <w:color w:val="000000"/>
          <w:sz w:val="28"/>
          <w:szCs w:val="28"/>
        </w:rPr>
        <w:t>днако Арбитражные суды ряда</w:t>
      </w:r>
      <w:r w:rsidR="005C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 России начали исключать из конкурсной массы физических лиц – банкротов выплаты, которые они получили за участие в специальной военной операции на Украине.</w:t>
      </w:r>
      <w:r w:rsidR="00F54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B216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4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военнослужащий</w:t>
      </w:r>
      <w:r w:rsidR="00F428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4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признанный несостоятельным (банкротом)</w:t>
      </w:r>
      <w:r w:rsidR="00F428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4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обратился в суд с заявлением об исключении из конкурсной массы выплат за участие в спецоперации.</w:t>
      </w:r>
      <w:r w:rsidR="0084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Семнадцатого арбитражного апелляционного суда от 08.09.2022 (по делу А60-68622/2021) ходатайство должника удовлетворено.</w:t>
      </w:r>
      <w:r w:rsidR="005B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847" w:rsidRDefault="00CC2634" w:rsidP="005902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832">
        <w:rPr>
          <w:rFonts w:ascii="Times New Roman" w:hAnsi="Times New Roman" w:cs="Times New Roman"/>
          <w:sz w:val="28"/>
          <w:szCs w:val="28"/>
        </w:rPr>
        <w:t>В</w:t>
      </w:r>
      <w:r w:rsidR="005B0832" w:rsidRPr="005B0832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5B0832">
        <w:rPr>
          <w:rFonts w:ascii="Times New Roman" w:hAnsi="Times New Roman" w:cs="Times New Roman"/>
          <w:sz w:val="28"/>
          <w:szCs w:val="28"/>
        </w:rPr>
        <w:t>направлены</w:t>
      </w:r>
      <w:r w:rsidR="005B0832" w:rsidRPr="005B0832">
        <w:rPr>
          <w:rFonts w:ascii="Times New Roman" w:hAnsi="Times New Roman" w:cs="Times New Roman"/>
          <w:sz w:val="28"/>
          <w:szCs w:val="28"/>
        </w:rPr>
        <w:t xml:space="preserve"> на восстановление здоровья, поддержание и обеспечение жизнедеятельности военнослужащего, исполнявшего свои служебные обязанности на территории иностранного государства. Исходя из того, что соответствующие выплаты были произведены, принимая во внимание соотношение размера требований кредиторов и размера компенсационной социальной выплаты, учитывая баланс интересов между должником и его кредиторами, личными правами должника, в том числе его правами на достойную жизнь и достоинство личности, судебная коллегия приходит к выводу, что названные выплаты не подлежат включению в конкурсную массу должника и не могут учитываться при определении имущества гражданина в порядке применения пункта 2 статьи 213.25 Закона о банкротстве. Следовательно, указанная выплата также подлежит исключению из конкурсной массы до</w:t>
      </w:r>
      <w:r w:rsidR="005B0832">
        <w:rPr>
          <w:rFonts w:ascii="Times New Roman" w:hAnsi="Times New Roman" w:cs="Times New Roman"/>
          <w:sz w:val="28"/>
          <w:szCs w:val="28"/>
        </w:rPr>
        <w:t>лжника»</w:t>
      </w:r>
      <w:r w:rsidR="00B216BC">
        <w:rPr>
          <w:rFonts w:ascii="Times New Roman" w:hAnsi="Times New Roman" w:cs="Times New Roman"/>
          <w:sz w:val="28"/>
          <w:szCs w:val="28"/>
        </w:rPr>
        <w:t>,</w:t>
      </w:r>
      <w:r w:rsidR="005B0832">
        <w:rPr>
          <w:rFonts w:ascii="Times New Roman" w:hAnsi="Times New Roman" w:cs="Times New Roman"/>
          <w:sz w:val="28"/>
          <w:szCs w:val="28"/>
        </w:rPr>
        <w:t xml:space="preserve"> </w:t>
      </w:r>
      <w:r w:rsidR="006A5E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0832">
        <w:rPr>
          <w:rFonts w:ascii="Times New Roman" w:hAnsi="Times New Roman" w:cs="Times New Roman"/>
          <w:sz w:val="28"/>
          <w:szCs w:val="28"/>
        </w:rPr>
        <w:t xml:space="preserve"> заключил суд.</w:t>
      </w:r>
    </w:p>
    <w:p w:rsidR="00C3437C" w:rsidRDefault="00C3437C" w:rsidP="005902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3437C" w:rsidSect="003548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4A5"/>
    <w:multiLevelType w:val="multilevel"/>
    <w:tmpl w:val="508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31CFB"/>
    <w:multiLevelType w:val="multilevel"/>
    <w:tmpl w:val="E18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F21AE"/>
    <w:multiLevelType w:val="multilevel"/>
    <w:tmpl w:val="8C08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B6E26"/>
    <w:multiLevelType w:val="multilevel"/>
    <w:tmpl w:val="E6BA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C2"/>
    <w:rsid w:val="00066847"/>
    <w:rsid w:val="000E73AD"/>
    <w:rsid w:val="000F1087"/>
    <w:rsid w:val="001C0FC3"/>
    <w:rsid w:val="001C4D74"/>
    <w:rsid w:val="001E71A1"/>
    <w:rsid w:val="002210B5"/>
    <w:rsid w:val="00223138"/>
    <w:rsid w:val="002C1736"/>
    <w:rsid w:val="002E6DAA"/>
    <w:rsid w:val="00325196"/>
    <w:rsid w:val="0032665F"/>
    <w:rsid w:val="00344CE9"/>
    <w:rsid w:val="0035482A"/>
    <w:rsid w:val="003741D5"/>
    <w:rsid w:val="003F11F0"/>
    <w:rsid w:val="00412FDB"/>
    <w:rsid w:val="0043207B"/>
    <w:rsid w:val="00552DE7"/>
    <w:rsid w:val="005761A9"/>
    <w:rsid w:val="00590205"/>
    <w:rsid w:val="005B0832"/>
    <w:rsid w:val="005C0E8D"/>
    <w:rsid w:val="005C7DF7"/>
    <w:rsid w:val="005D68DA"/>
    <w:rsid w:val="006160AD"/>
    <w:rsid w:val="006A5E5C"/>
    <w:rsid w:val="006F0910"/>
    <w:rsid w:val="007138B5"/>
    <w:rsid w:val="007575BA"/>
    <w:rsid w:val="007813FE"/>
    <w:rsid w:val="00826EEF"/>
    <w:rsid w:val="00847250"/>
    <w:rsid w:val="00856E38"/>
    <w:rsid w:val="008718E5"/>
    <w:rsid w:val="008E5B97"/>
    <w:rsid w:val="00974C6F"/>
    <w:rsid w:val="009751CC"/>
    <w:rsid w:val="009B7740"/>
    <w:rsid w:val="009C374B"/>
    <w:rsid w:val="009F68D3"/>
    <w:rsid w:val="00A30A49"/>
    <w:rsid w:val="00A60266"/>
    <w:rsid w:val="00AA3704"/>
    <w:rsid w:val="00AC24C5"/>
    <w:rsid w:val="00AF4892"/>
    <w:rsid w:val="00B216BC"/>
    <w:rsid w:val="00B23669"/>
    <w:rsid w:val="00B62C86"/>
    <w:rsid w:val="00B80CC2"/>
    <w:rsid w:val="00BB237E"/>
    <w:rsid w:val="00C3437C"/>
    <w:rsid w:val="00C605C8"/>
    <w:rsid w:val="00C67A12"/>
    <w:rsid w:val="00C728DB"/>
    <w:rsid w:val="00CC2634"/>
    <w:rsid w:val="00CC5A60"/>
    <w:rsid w:val="00D52A07"/>
    <w:rsid w:val="00D56D17"/>
    <w:rsid w:val="00D64157"/>
    <w:rsid w:val="00E46C90"/>
    <w:rsid w:val="00EF06E8"/>
    <w:rsid w:val="00F05CC4"/>
    <w:rsid w:val="00F06300"/>
    <w:rsid w:val="00F4285F"/>
    <w:rsid w:val="00F54F73"/>
    <w:rsid w:val="00F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835"/>
  <w15:chartTrackingRefBased/>
  <w15:docId w15:val="{E32F0830-F315-4557-A7AB-41FDB6A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68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4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Чебакова Светлана Анатольевна</dc:creator>
  <cp:keywords/>
  <dc:description/>
  <cp:lastModifiedBy>Терентьева Светлана Николаевна</cp:lastModifiedBy>
  <cp:revision>37</cp:revision>
  <dcterms:created xsi:type="dcterms:W3CDTF">2023-03-29T03:40:00Z</dcterms:created>
  <dcterms:modified xsi:type="dcterms:W3CDTF">2023-04-04T09:52:00Z</dcterms:modified>
</cp:coreProperties>
</file>